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9762" w14:textId="11814C2E" w:rsidR="003C73FD" w:rsidRDefault="003C73FD" w:rsidP="003C73FD">
      <w:pPr>
        <w:spacing w:after="120"/>
        <w:jc w:val="center"/>
        <w:rPr>
          <w:rFonts w:ascii="Times New Roman" w:hAnsi="Times New Roman" w:cs="Times New Roman"/>
          <w:b/>
          <w:bCs/>
          <w:sz w:val="24"/>
          <w:szCs w:val="24"/>
        </w:rPr>
      </w:pPr>
      <w:r>
        <w:rPr>
          <w:rFonts w:ascii="Times New Roman" w:hAnsi="Times New Roman" w:cs="Times New Roman"/>
          <w:b/>
          <w:bCs/>
          <w:sz w:val="24"/>
          <w:szCs w:val="24"/>
        </w:rPr>
        <w:t>ADDENDUM 1 TO</w:t>
      </w:r>
    </w:p>
    <w:p w14:paraId="3FA83B07" w14:textId="77777777" w:rsidR="003C73FD" w:rsidRDefault="003C73FD" w:rsidP="003C73FD">
      <w:pPr>
        <w:spacing w:after="120"/>
        <w:jc w:val="center"/>
        <w:rPr>
          <w:rFonts w:ascii="Times New Roman" w:hAnsi="Times New Roman" w:cs="Times New Roman"/>
          <w:b/>
          <w:bCs/>
          <w:sz w:val="24"/>
          <w:szCs w:val="24"/>
        </w:rPr>
      </w:pPr>
    </w:p>
    <w:p w14:paraId="35CF49A8" w14:textId="20A18712" w:rsidR="003C73FD" w:rsidRDefault="002F0C5E" w:rsidP="003C73FD">
      <w:pPr>
        <w:spacing w:after="120"/>
        <w:jc w:val="center"/>
        <w:rPr>
          <w:rFonts w:ascii="Times New Roman" w:hAnsi="Times New Roman" w:cs="Times New Roman"/>
          <w:b/>
          <w:bCs/>
          <w:sz w:val="24"/>
          <w:szCs w:val="24"/>
        </w:rPr>
      </w:pPr>
      <w:r w:rsidRPr="002F0C5E">
        <w:rPr>
          <w:rFonts w:ascii="Times New Roman" w:hAnsi="Times New Roman" w:cs="Times New Roman"/>
          <w:b/>
          <w:bCs/>
          <w:sz w:val="24"/>
          <w:szCs w:val="24"/>
        </w:rPr>
        <w:t>2nd CALL FOR EXPRESSION OF INTEREST TO SELECT ADVISORY PARTNERS UNDER THE INVESTEU ADVISORY HUB</w:t>
      </w:r>
    </w:p>
    <w:p w14:paraId="5DCEA40C" w14:textId="77777777" w:rsidR="002F0C5E" w:rsidRDefault="002F0C5E" w:rsidP="00F41D32">
      <w:pPr>
        <w:jc w:val="center"/>
        <w:rPr>
          <w:b/>
          <w:bCs/>
        </w:rPr>
      </w:pPr>
    </w:p>
    <w:p w14:paraId="3DDCA3DA" w14:textId="3C1DC9AC" w:rsidR="00CB332E" w:rsidRDefault="0083348B" w:rsidP="00F41D32">
      <w:pPr>
        <w:jc w:val="center"/>
        <w:rPr>
          <w:b/>
          <w:bCs/>
        </w:rPr>
      </w:pPr>
      <w:r>
        <w:rPr>
          <w:b/>
          <w:bCs/>
        </w:rPr>
        <w:t>Addendum</w:t>
      </w:r>
      <w:r w:rsidRPr="0083348B">
        <w:rPr>
          <w:b/>
          <w:bCs/>
        </w:rPr>
        <w:t xml:space="preserve"> 1.</w:t>
      </w:r>
      <w:r>
        <w:rPr>
          <w:b/>
          <w:bCs/>
        </w:rPr>
        <w:t>1</w:t>
      </w:r>
    </w:p>
    <w:p w14:paraId="05BF5F31" w14:textId="77777777" w:rsidR="002F0C5E" w:rsidRDefault="002F0C5E" w:rsidP="00F41D32">
      <w:pPr>
        <w:jc w:val="center"/>
        <w:rPr>
          <w:b/>
          <w:bCs/>
        </w:rPr>
      </w:pPr>
    </w:p>
    <w:p w14:paraId="4AC4F50A" w14:textId="0D0AB429" w:rsidR="003C73FD" w:rsidRPr="003C73FD" w:rsidRDefault="003C73FD">
      <w:pPr>
        <w:rPr>
          <w:b/>
          <w:bCs/>
        </w:rPr>
      </w:pPr>
      <w:r w:rsidRPr="003C73FD">
        <w:rPr>
          <w:b/>
          <w:bCs/>
        </w:rPr>
        <w:t>Call Text</w:t>
      </w:r>
    </w:p>
    <w:p w14:paraId="553E2A79" w14:textId="530016DC" w:rsidR="002F0C5E" w:rsidRPr="002F0C5E" w:rsidRDefault="002F0C5E" w:rsidP="003C73FD">
      <w:pPr>
        <w:rPr>
          <w:b/>
          <w:bCs/>
        </w:rPr>
      </w:pPr>
      <w:bookmarkStart w:id="0" w:name="_Toc68877360"/>
      <w:r w:rsidRPr="002F0C5E">
        <w:rPr>
          <w:b/>
          <w:bCs/>
        </w:rPr>
        <w:t>3. Terms of the Call</w:t>
      </w:r>
    </w:p>
    <w:p w14:paraId="37E70820" w14:textId="1A3BAA88" w:rsidR="002F0C5E" w:rsidRDefault="002F0C5E" w:rsidP="003C73FD">
      <w:pPr>
        <w:rPr>
          <w:b/>
        </w:rPr>
      </w:pPr>
      <w:r>
        <w:rPr>
          <w:b/>
        </w:rPr>
        <w:t>3.3 Financial terms</w:t>
      </w:r>
    </w:p>
    <w:p w14:paraId="2357DE4D" w14:textId="77777777" w:rsidR="002F0C5E" w:rsidRPr="00F41D32" w:rsidRDefault="002F0C5E" w:rsidP="002F0C5E">
      <w:pPr>
        <w:rPr>
          <w:u w:val="single"/>
        </w:rPr>
      </w:pPr>
      <w:r w:rsidRPr="00F41D32">
        <w:rPr>
          <w:u w:val="single"/>
        </w:rPr>
        <w:t>FOR:</w:t>
      </w:r>
    </w:p>
    <w:p w14:paraId="7D0517E1" w14:textId="4EC1A966" w:rsidR="002F0C5E" w:rsidRDefault="002F0C5E" w:rsidP="003C73FD">
      <w:pPr>
        <w:rPr>
          <w:rStyle w:val="eop"/>
          <w:color w:val="000000"/>
          <w:shd w:val="clear" w:color="auto" w:fill="FFFFFF"/>
        </w:rPr>
      </w:pPr>
      <w:r>
        <w:rPr>
          <w:rStyle w:val="normaltextrun"/>
          <w:color w:val="000000"/>
          <w:shd w:val="clear" w:color="auto" w:fill="FFFFFF"/>
        </w:rPr>
        <w:t>The maximum amount made available under this Call is EUR 33.1 million. The maximum amount to be awarded to an advisory partner under this Call will, in principle, shall not exceed EUR 5 million.</w:t>
      </w:r>
    </w:p>
    <w:p w14:paraId="0893CA60" w14:textId="73F5210D" w:rsidR="002F0C5E" w:rsidRDefault="002F0C5E" w:rsidP="003C73FD">
      <w:pPr>
        <w:rPr>
          <w:rStyle w:val="eop"/>
          <w:color w:val="000000"/>
          <w:shd w:val="clear" w:color="auto" w:fill="FFFFFF"/>
        </w:rPr>
      </w:pPr>
      <w:r w:rsidRPr="00F41D32">
        <w:rPr>
          <w:u w:val="single"/>
        </w:rPr>
        <w:t>READ:</w:t>
      </w:r>
    </w:p>
    <w:p w14:paraId="07E5206C" w14:textId="0E79B108" w:rsidR="002F0C5E" w:rsidRDefault="002F0C5E" w:rsidP="003C73FD">
      <w:pPr>
        <w:rPr>
          <w:rStyle w:val="normaltextrun"/>
          <w:color w:val="000000"/>
          <w:shd w:val="clear" w:color="auto" w:fill="FFFFFF"/>
        </w:rPr>
      </w:pPr>
      <w:r>
        <w:rPr>
          <w:rStyle w:val="normaltextrun"/>
          <w:color w:val="000000"/>
          <w:shd w:val="clear" w:color="auto" w:fill="FFFFFF"/>
        </w:rPr>
        <w:t>The maximum amount made available under this Call is EUR 33.1 million. The maximum amount to be awarded to an advisory partner under this Call, in principle, shall not exceed EUR 5 million.</w:t>
      </w:r>
    </w:p>
    <w:p w14:paraId="326299E7" w14:textId="77777777" w:rsidR="002F0C5E" w:rsidRDefault="002F0C5E" w:rsidP="002F0C5E">
      <w:pPr>
        <w:jc w:val="center"/>
        <w:rPr>
          <w:b/>
          <w:bCs/>
        </w:rPr>
      </w:pPr>
    </w:p>
    <w:p w14:paraId="4087FDBB" w14:textId="5B785505" w:rsidR="002F0C5E" w:rsidRDefault="002F0C5E" w:rsidP="002F0C5E">
      <w:pPr>
        <w:jc w:val="center"/>
        <w:rPr>
          <w:b/>
          <w:bCs/>
        </w:rPr>
      </w:pPr>
      <w:r>
        <w:rPr>
          <w:b/>
          <w:bCs/>
        </w:rPr>
        <w:t>Addendum</w:t>
      </w:r>
      <w:r w:rsidRPr="0083348B">
        <w:rPr>
          <w:b/>
          <w:bCs/>
        </w:rPr>
        <w:t xml:space="preserve"> 1.</w:t>
      </w:r>
      <w:r>
        <w:rPr>
          <w:b/>
          <w:bCs/>
        </w:rPr>
        <w:t>2</w:t>
      </w:r>
    </w:p>
    <w:p w14:paraId="7CB82C4A" w14:textId="77777777" w:rsidR="002F0C5E" w:rsidRDefault="002F0C5E" w:rsidP="003C73FD">
      <w:pPr>
        <w:rPr>
          <w:b/>
        </w:rPr>
      </w:pPr>
    </w:p>
    <w:p w14:paraId="6663EF4A" w14:textId="1712DABA" w:rsidR="003C73FD" w:rsidRPr="003C73FD" w:rsidRDefault="002F0C5E" w:rsidP="003C73FD">
      <w:pPr>
        <w:rPr>
          <w:b/>
        </w:rPr>
      </w:pPr>
      <w:r>
        <w:rPr>
          <w:b/>
        </w:rPr>
        <w:t>4</w:t>
      </w:r>
      <w:r w:rsidR="003C73FD">
        <w:rPr>
          <w:b/>
        </w:rPr>
        <w:t xml:space="preserve">. </w:t>
      </w:r>
      <w:r w:rsidR="003C73FD" w:rsidRPr="003C73FD">
        <w:rPr>
          <w:b/>
        </w:rPr>
        <w:t>Application and selection procedure</w:t>
      </w:r>
      <w:bookmarkEnd w:id="0"/>
    </w:p>
    <w:p w14:paraId="22DFD0B0" w14:textId="312E8310" w:rsidR="003C73FD" w:rsidRDefault="002F0C5E" w:rsidP="003C73FD">
      <w:pPr>
        <w:rPr>
          <w:b/>
          <w:bCs/>
        </w:rPr>
      </w:pPr>
      <w:bookmarkStart w:id="1" w:name="_Toc68877361"/>
      <w:r>
        <w:rPr>
          <w:b/>
          <w:bCs/>
        </w:rPr>
        <w:t>4</w:t>
      </w:r>
      <w:r w:rsidR="003C73FD">
        <w:rPr>
          <w:b/>
          <w:bCs/>
        </w:rPr>
        <w:t xml:space="preserve">.1 </w:t>
      </w:r>
      <w:r w:rsidR="003C73FD" w:rsidRPr="003C73FD">
        <w:rPr>
          <w:b/>
          <w:bCs/>
        </w:rPr>
        <w:t>Application procedure</w:t>
      </w:r>
      <w:bookmarkEnd w:id="1"/>
    </w:p>
    <w:p w14:paraId="01366CE6" w14:textId="1319FB29" w:rsidR="003C73FD" w:rsidRPr="00F41D32" w:rsidRDefault="005024BE" w:rsidP="003C73FD">
      <w:pPr>
        <w:rPr>
          <w:u w:val="single"/>
        </w:rPr>
      </w:pPr>
      <w:r w:rsidRPr="00F41D32">
        <w:rPr>
          <w:u w:val="single"/>
        </w:rPr>
        <w:t>FOR:</w:t>
      </w:r>
    </w:p>
    <w:tbl>
      <w:tblPr>
        <w:tblStyle w:val="TableGrid"/>
        <w:tblW w:w="0" w:type="auto"/>
        <w:jc w:val="center"/>
        <w:tblLook w:val="04A0" w:firstRow="1" w:lastRow="0" w:firstColumn="1" w:lastColumn="0" w:noHBand="0" w:noVBand="1"/>
      </w:tblPr>
      <w:tblGrid>
        <w:gridCol w:w="4497"/>
        <w:gridCol w:w="4438"/>
      </w:tblGrid>
      <w:tr w:rsidR="003C73FD" w:rsidRPr="00F76E10" w14:paraId="36012AAE" w14:textId="77777777" w:rsidTr="002057D7">
        <w:trPr>
          <w:jc w:val="center"/>
        </w:trPr>
        <w:tc>
          <w:tcPr>
            <w:tcW w:w="8935" w:type="dxa"/>
            <w:gridSpan w:val="2"/>
          </w:tcPr>
          <w:p w14:paraId="32991681" w14:textId="77777777" w:rsidR="003C73FD" w:rsidRPr="00F76E10" w:rsidRDefault="003C73FD" w:rsidP="002057D7">
            <w:pPr>
              <w:spacing w:after="120"/>
              <w:jc w:val="center"/>
              <w:rPr>
                <w:rFonts w:ascii="Times New Roman" w:hAnsi="Times New Roman" w:cs="Times New Roman"/>
                <w:b/>
                <w:bCs/>
                <w:sz w:val="24"/>
                <w:szCs w:val="24"/>
              </w:rPr>
            </w:pPr>
            <w:r w:rsidRPr="00F76E10">
              <w:rPr>
                <w:rFonts w:ascii="Times New Roman" w:hAnsi="Times New Roman" w:cs="Times New Roman"/>
                <w:b/>
                <w:bCs/>
                <w:sz w:val="24"/>
                <w:szCs w:val="24"/>
              </w:rPr>
              <w:t>Timetable</w:t>
            </w:r>
          </w:p>
        </w:tc>
      </w:tr>
      <w:tr w:rsidR="003C73FD" w:rsidRPr="00F76E10" w14:paraId="3E6F45A4" w14:textId="77777777" w:rsidTr="002057D7">
        <w:trPr>
          <w:jc w:val="center"/>
        </w:trPr>
        <w:tc>
          <w:tcPr>
            <w:tcW w:w="4497" w:type="dxa"/>
          </w:tcPr>
          <w:p w14:paraId="65CF2A8D"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First cut-off date </w:t>
            </w:r>
          </w:p>
        </w:tc>
        <w:tc>
          <w:tcPr>
            <w:tcW w:w="4438" w:type="dxa"/>
          </w:tcPr>
          <w:p w14:paraId="57A05F27" w14:textId="6B8F1251" w:rsidR="003C73FD" w:rsidRPr="00F76E10" w:rsidRDefault="003C73FD" w:rsidP="002057D7">
            <w:pPr>
              <w:spacing w:after="120"/>
              <w:jc w:val="both"/>
              <w:rPr>
                <w:rFonts w:ascii="Times New Roman" w:hAnsi="Times New Roman" w:cs="Times New Roman"/>
                <w:sz w:val="24"/>
                <w:szCs w:val="24"/>
              </w:rPr>
            </w:pPr>
            <w:r>
              <w:rPr>
                <w:rFonts w:ascii="Times New Roman" w:hAnsi="Times New Roman" w:cs="Times New Roman"/>
                <w:sz w:val="24"/>
                <w:szCs w:val="24"/>
              </w:rPr>
              <w:t>29 February</w:t>
            </w:r>
            <w:r w:rsidRPr="00F76E10">
              <w:rPr>
                <w:rFonts w:ascii="Times New Roman" w:hAnsi="Times New Roman" w:cs="Times New Roman"/>
                <w:sz w:val="24"/>
                <w:szCs w:val="24"/>
              </w:rPr>
              <w:t xml:space="preserve"> 2024 (18:00 CET)</w:t>
            </w:r>
          </w:p>
        </w:tc>
      </w:tr>
      <w:tr w:rsidR="003C73FD" w:rsidRPr="00F76E10" w14:paraId="7DC977BA" w14:textId="77777777" w:rsidTr="002057D7">
        <w:trPr>
          <w:jc w:val="center"/>
        </w:trPr>
        <w:tc>
          <w:tcPr>
            <w:tcW w:w="4497" w:type="dxa"/>
          </w:tcPr>
          <w:p w14:paraId="4DCF82B0"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Next cut-off date(s) </w:t>
            </w:r>
          </w:p>
        </w:tc>
        <w:tc>
          <w:tcPr>
            <w:tcW w:w="4438" w:type="dxa"/>
          </w:tcPr>
          <w:p w14:paraId="2CD5792C"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31 August 2024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149661A8"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28 February 2025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27478516" w14:textId="6131F9C6" w:rsidR="003C73FD" w:rsidRPr="00F76E10" w:rsidRDefault="003C73FD" w:rsidP="002F0C5E">
            <w:pPr>
              <w:spacing w:after="120"/>
              <w:jc w:val="both"/>
              <w:rPr>
                <w:rFonts w:ascii="Times New Roman" w:hAnsi="Times New Roman" w:cs="Times New Roman"/>
                <w:sz w:val="24"/>
                <w:szCs w:val="24"/>
              </w:rPr>
            </w:pPr>
            <w:r w:rsidRPr="00A4152B">
              <w:rPr>
                <w:rFonts w:ascii="Times New Roman" w:hAnsi="Times New Roman" w:cs="Times New Roman"/>
                <w:sz w:val="24"/>
                <w:szCs w:val="24"/>
                <w:lang w:val="fr-FR"/>
              </w:rPr>
              <w:t>31 August 2025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tc>
      </w:tr>
      <w:tr w:rsidR="003C73FD" w:rsidRPr="00F76E10" w14:paraId="451B77EF" w14:textId="77777777" w:rsidTr="002057D7">
        <w:trPr>
          <w:jc w:val="center"/>
        </w:trPr>
        <w:tc>
          <w:tcPr>
            <w:tcW w:w="4497" w:type="dxa"/>
          </w:tcPr>
          <w:p w14:paraId="35031980"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Evaluation of proposals</w:t>
            </w:r>
          </w:p>
        </w:tc>
        <w:tc>
          <w:tcPr>
            <w:tcW w:w="4438" w:type="dxa"/>
          </w:tcPr>
          <w:p w14:paraId="52F611F3" w14:textId="24F9EB73" w:rsidR="003C73FD" w:rsidRPr="00F76E10" w:rsidRDefault="002F0C5E" w:rsidP="002057D7">
            <w:pPr>
              <w:spacing w:after="120"/>
              <w:jc w:val="both"/>
              <w:rPr>
                <w:rFonts w:ascii="Times New Roman" w:hAnsi="Times New Roman" w:cs="Times New Roman"/>
                <w:sz w:val="24"/>
                <w:szCs w:val="24"/>
              </w:rPr>
            </w:pPr>
            <w:r w:rsidRPr="002F0C5E">
              <w:rPr>
                <w:rFonts w:ascii="Times New Roman" w:hAnsi="Times New Roman" w:cs="Times New Roman"/>
                <w:sz w:val="24"/>
                <w:szCs w:val="24"/>
              </w:rPr>
              <w:t>Following each cut-off date, the Commission will assess all Applications received before that date, in accordance with the process in section 4.2 of this Call.</w:t>
            </w:r>
          </w:p>
        </w:tc>
      </w:tr>
    </w:tbl>
    <w:p w14:paraId="0000FE89" w14:textId="77777777" w:rsidR="003C73FD" w:rsidRDefault="003C73FD" w:rsidP="003C73FD">
      <w:pPr>
        <w:rPr>
          <w:b/>
          <w:bCs/>
        </w:rPr>
      </w:pPr>
    </w:p>
    <w:p w14:paraId="2F79E18F" w14:textId="3CA40626" w:rsidR="003C73FD" w:rsidRPr="003C73FD" w:rsidRDefault="005024BE" w:rsidP="003C73FD">
      <w:pPr>
        <w:rPr>
          <w:u w:val="single"/>
        </w:rPr>
      </w:pPr>
      <w:r w:rsidRPr="00F41D32">
        <w:rPr>
          <w:u w:val="single"/>
        </w:rPr>
        <w:t>READ</w:t>
      </w:r>
      <w:r w:rsidR="003C73FD" w:rsidRPr="00F41D32">
        <w:rPr>
          <w:u w:val="single"/>
        </w:rPr>
        <w:t>:</w:t>
      </w:r>
    </w:p>
    <w:tbl>
      <w:tblPr>
        <w:tblStyle w:val="TableGrid"/>
        <w:tblW w:w="0" w:type="auto"/>
        <w:jc w:val="center"/>
        <w:tblLook w:val="04A0" w:firstRow="1" w:lastRow="0" w:firstColumn="1" w:lastColumn="0" w:noHBand="0" w:noVBand="1"/>
      </w:tblPr>
      <w:tblGrid>
        <w:gridCol w:w="4497"/>
        <w:gridCol w:w="4438"/>
      </w:tblGrid>
      <w:tr w:rsidR="003C73FD" w:rsidRPr="00F76E10" w14:paraId="138CE708" w14:textId="77777777" w:rsidTr="002057D7">
        <w:trPr>
          <w:jc w:val="center"/>
        </w:trPr>
        <w:tc>
          <w:tcPr>
            <w:tcW w:w="8935" w:type="dxa"/>
            <w:gridSpan w:val="2"/>
          </w:tcPr>
          <w:p w14:paraId="2802EEB9" w14:textId="77777777" w:rsidR="003C73FD" w:rsidRPr="00F76E10" w:rsidRDefault="003C73FD" w:rsidP="002057D7">
            <w:pPr>
              <w:spacing w:after="120"/>
              <w:jc w:val="center"/>
              <w:rPr>
                <w:rFonts w:ascii="Times New Roman" w:hAnsi="Times New Roman" w:cs="Times New Roman"/>
                <w:b/>
                <w:bCs/>
                <w:sz w:val="24"/>
                <w:szCs w:val="24"/>
              </w:rPr>
            </w:pPr>
            <w:r w:rsidRPr="00F76E10">
              <w:rPr>
                <w:rFonts w:ascii="Times New Roman" w:hAnsi="Times New Roman" w:cs="Times New Roman"/>
                <w:b/>
                <w:bCs/>
                <w:sz w:val="24"/>
                <w:szCs w:val="24"/>
              </w:rPr>
              <w:lastRenderedPageBreak/>
              <w:t>Timetable</w:t>
            </w:r>
          </w:p>
        </w:tc>
      </w:tr>
      <w:tr w:rsidR="003C73FD" w:rsidRPr="00F76E10" w14:paraId="128D8CC8" w14:textId="77777777" w:rsidTr="002057D7">
        <w:trPr>
          <w:jc w:val="center"/>
        </w:trPr>
        <w:tc>
          <w:tcPr>
            <w:tcW w:w="4497" w:type="dxa"/>
          </w:tcPr>
          <w:p w14:paraId="1F87DDBF"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First cut-off date </w:t>
            </w:r>
          </w:p>
        </w:tc>
        <w:tc>
          <w:tcPr>
            <w:tcW w:w="4438" w:type="dxa"/>
          </w:tcPr>
          <w:p w14:paraId="3A52B8EF" w14:textId="77777777" w:rsidR="003C73FD" w:rsidRPr="00F76E10" w:rsidRDefault="003C73FD" w:rsidP="002057D7">
            <w:pPr>
              <w:spacing w:after="120"/>
              <w:jc w:val="both"/>
              <w:rPr>
                <w:rFonts w:ascii="Times New Roman" w:hAnsi="Times New Roman" w:cs="Times New Roman"/>
                <w:sz w:val="24"/>
                <w:szCs w:val="24"/>
              </w:rPr>
            </w:pPr>
            <w:r>
              <w:rPr>
                <w:rFonts w:ascii="Times New Roman" w:hAnsi="Times New Roman" w:cs="Times New Roman"/>
                <w:sz w:val="24"/>
                <w:szCs w:val="24"/>
              </w:rPr>
              <w:t>5 April</w:t>
            </w:r>
            <w:r w:rsidRPr="00F76E10">
              <w:rPr>
                <w:rFonts w:ascii="Times New Roman" w:hAnsi="Times New Roman" w:cs="Times New Roman"/>
                <w:sz w:val="24"/>
                <w:szCs w:val="24"/>
              </w:rPr>
              <w:t xml:space="preserve"> 2024 (18:00 CET)</w:t>
            </w:r>
          </w:p>
        </w:tc>
      </w:tr>
      <w:tr w:rsidR="003C73FD" w:rsidRPr="00F76E10" w14:paraId="38123FB3" w14:textId="77777777" w:rsidTr="002057D7">
        <w:trPr>
          <w:jc w:val="center"/>
        </w:trPr>
        <w:tc>
          <w:tcPr>
            <w:tcW w:w="4497" w:type="dxa"/>
          </w:tcPr>
          <w:p w14:paraId="5B5E93F8"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Next cut-off date(s) </w:t>
            </w:r>
          </w:p>
        </w:tc>
        <w:tc>
          <w:tcPr>
            <w:tcW w:w="4438" w:type="dxa"/>
          </w:tcPr>
          <w:p w14:paraId="565F7D97"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31 August 2024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2861E44C" w14:textId="77777777" w:rsidR="003C73FD" w:rsidRPr="00A4152B" w:rsidRDefault="003C73FD" w:rsidP="002057D7">
            <w:pPr>
              <w:spacing w:after="120"/>
              <w:jc w:val="both"/>
              <w:rPr>
                <w:rFonts w:ascii="Times New Roman" w:hAnsi="Times New Roman" w:cs="Times New Roman"/>
                <w:sz w:val="24"/>
                <w:szCs w:val="24"/>
                <w:lang w:val="fr-FR"/>
              </w:rPr>
            </w:pPr>
            <w:r w:rsidRPr="00A4152B">
              <w:rPr>
                <w:rFonts w:ascii="Times New Roman" w:hAnsi="Times New Roman" w:cs="Times New Roman"/>
                <w:sz w:val="24"/>
                <w:szCs w:val="24"/>
                <w:lang w:val="fr-FR"/>
              </w:rPr>
              <w:t>28 February 2025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p w14:paraId="1DCC0CC2" w14:textId="5090F3CF" w:rsidR="003C73FD" w:rsidRPr="00F76E10" w:rsidRDefault="003C73FD" w:rsidP="00C50919">
            <w:pPr>
              <w:spacing w:after="120"/>
              <w:jc w:val="both"/>
              <w:rPr>
                <w:rFonts w:ascii="Times New Roman" w:hAnsi="Times New Roman" w:cs="Times New Roman"/>
                <w:sz w:val="24"/>
                <w:szCs w:val="24"/>
              </w:rPr>
            </w:pPr>
            <w:r w:rsidRPr="00A4152B">
              <w:rPr>
                <w:rFonts w:ascii="Times New Roman" w:hAnsi="Times New Roman" w:cs="Times New Roman"/>
                <w:sz w:val="24"/>
                <w:szCs w:val="24"/>
                <w:lang w:val="fr-FR"/>
              </w:rPr>
              <w:t>31 August 2025 (</w:t>
            </w:r>
            <w:proofErr w:type="gramStart"/>
            <w:r w:rsidRPr="00A4152B">
              <w:rPr>
                <w:rFonts w:ascii="Times New Roman" w:hAnsi="Times New Roman" w:cs="Times New Roman"/>
                <w:sz w:val="24"/>
                <w:szCs w:val="24"/>
                <w:lang w:val="fr-FR"/>
              </w:rPr>
              <w:t>18:</w:t>
            </w:r>
            <w:proofErr w:type="gramEnd"/>
            <w:r w:rsidRPr="00A4152B">
              <w:rPr>
                <w:rFonts w:ascii="Times New Roman" w:hAnsi="Times New Roman" w:cs="Times New Roman"/>
                <w:sz w:val="24"/>
                <w:szCs w:val="24"/>
                <w:lang w:val="fr-FR"/>
              </w:rPr>
              <w:t>00 CET)</w:t>
            </w:r>
          </w:p>
        </w:tc>
      </w:tr>
      <w:tr w:rsidR="003C73FD" w:rsidRPr="00F76E10" w14:paraId="2282E5DE" w14:textId="77777777" w:rsidTr="002057D7">
        <w:trPr>
          <w:jc w:val="center"/>
        </w:trPr>
        <w:tc>
          <w:tcPr>
            <w:tcW w:w="4497" w:type="dxa"/>
          </w:tcPr>
          <w:p w14:paraId="2F228BF9" w14:textId="77777777" w:rsidR="003C73FD" w:rsidRPr="00F76E10" w:rsidRDefault="003C73FD" w:rsidP="002057D7">
            <w:pPr>
              <w:spacing w:after="120"/>
              <w:jc w:val="both"/>
              <w:rPr>
                <w:rFonts w:ascii="Times New Roman" w:hAnsi="Times New Roman" w:cs="Times New Roman"/>
                <w:sz w:val="24"/>
                <w:szCs w:val="24"/>
              </w:rPr>
            </w:pPr>
            <w:r w:rsidRPr="00F76E10">
              <w:rPr>
                <w:rFonts w:ascii="Times New Roman" w:hAnsi="Times New Roman" w:cs="Times New Roman"/>
                <w:sz w:val="24"/>
                <w:szCs w:val="24"/>
              </w:rPr>
              <w:t>Evaluation of proposals</w:t>
            </w:r>
          </w:p>
        </w:tc>
        <w:tc>
          <w:tcPr>
            <w:tcW w:w="4438" w:type="dxa"/>
          </w:tcPr>
          <w:p w14:paraId="5B60900B" w14:textId="3EE6E40D" w:rsidR="003C73FD" w:rsidRPr="00F76E10" w:rsidRDefault="002F0C5E" w:rsidP="002057D7">
            <w:pPr>
              <w:spacing w:after="120"/>
              <w:jc w:val="both"/>
              <w:rPr>
                <w:rFonts w:ascii="Times New Roman" w:hAnsi="Times New Roman" w:cs="Times New Roman"/>
                <w:sz w:val="24"/>
                <w:szCs w:val="24"/>
              </w:rPr>
            </w:pPr>
            <w:r w:rsidRPr="002F0C5E">
              <w:rPr>
                <w:rFonts w:ascii="Times New Roman" w:hAnsi="Times New Roman" w:cs="Times New Roman"/>
                <w:sz w:val="24"/>
                <w:szCs w:val="24"/>
              </w:rPr>
              <w:t>Following each cut-off date, the Commission will assess all Applications received before that date, in accordance with the process in section 4.2 of this Call.</w:t>
            </w:r>
          </w:p>
        </w:tc>
      </w:tr>
    </w:tbl>
    <w:p w14:paraId="1ED546D8" w14:textId="77777777" w:rsidR="003C73FD" w:rsidRDefault="003C73FD"/>
    <w:p w14:paraId="2C9CA234" w14:textId="77777777" w:rsidR="003C73FD" w:rsidRDefault="003C73FD"/>
    <w:p w14:paraId="08F78513" w14:textId="0FB2BAC8" w:rsidR="0083348B" w:rsidRDefault="0083348B" w:rsidP="00F41D32">
      <w:pPr>
        <w:jc w:val="center"/>
        <w:rPr>
          <w:b/>
          <w:bCs/>
        </w:rPr>
      </w:pPr>
      <w:r>
        <w:rPr>
          <w:b/>
          <w:bCs/>
        </w:rPr>
        <w:t>Addendum</w:t>
      </w:r>
      <w:r w:rsidRPr="0083348B">
        <w:rPr>
          <w:b/>
          <w:bCs/>
        </w:rPr>
        <w:t xml:space="preserve"> 1.</w:t>
      </w:r>
      <w:r w:rsidR="00C50919">
        <w:rPr>
          <w:b/>
          <w:bCs/>
        </w:rPr>
        <w:t>3</w:t>
      </w:r>
    </w:p>
    <w:p w14:paraId="4747996A" w14:textId="77777777" w:rsidR="0083348B" w:rsidRDefault="0083348B">
      <w:pPr>
        <w:rPr>
          <w:b/>
          <w:bCs/>
        </w:rPr>
      </w:pPr>
    </w:p>
    <w:p w14:paraId="67CD68C1" w14:textId="33A11FA4" w:rsidR="003C73FD" w:rsidRDefault="003C73FD">
      <w:pPr>
        <w:rPr>
          <w:b/>
          <w:bCs/>
        </w:rPr>
      </w:pPr>
      <w:r w:rsidRPr="003C73FD">
        <w:rPr>
          <w:b/>
          <w:bCs/>
        </w:rPr>
        <w:t>Annex II.</w:t>
      </w:r>
      <w:r>
        <w:rPr>
          <w:b/>
          <w:bCs/>
        </w:rPr>
        <w:t xml:space="preserve"> </w:t>
      </w:r>
      <w:r w:rsidRPr="003C73FD">
        <w:rPr>
          <w:b/>
          <w:bCs/>
        </w:rPr>
        <w:t>Model application form</w:t>
      </w:r>
    </w:p>
    <w:p w14:paraId="4EAEDBAE" w14:textId="51272894" w:rsidR="003C73FD" w:rsidRPr="006F08FF" w:rsidRDefault="003C73FD" w:rsidP="006F08FF">
      <w:pPr>
        <w:rPr>
          <w:b/>
          <w:bCs/>
        </w:rPr>
      </w:pPr>
      <w:r w:rsidRPr="006F08FF">
        <w:rPr>
          <w:b/>
          <w:bCs/>
        </w:rPr>
        <w:t xml:space="preserve">Section B. </w:t>
      </w:r>
      <w:r w:rsidR="00396609" w:rsidRPr="00396609">
        <w:rPr>
          <w:b/>
          <w:bCs/>
        </w:rPr>
        <w:t xml:space="preserve">Information on the Applicant, and required supporting </w:t>
      </w:r>
      <w:proofErr w:type="gramStart"/>
      <w:r w:rsidR="00396609" w:rsidRPr="00396609">
        <w:rPr>
          <w:b/>
          <w:bCs/>
        </w:rPr>
        <w:t>information</w:t>
      </w:r>
      <w:proofErr w:type="gramEnd"/>
    </w:p>
    <w:p w14:paraId="2DDDD288" w14:textId="082823A1" w:rsidR="003C73FD" w:rsidRPr="00F41D32" w:rsidRDefault="005024BE" w:rsidP="002057D7">
      <w:pPr>
        <w:jc w:val="both"/>
        <w:rPr>
          <w:rFonts w:cstheme="minorHAnsi"/>
          <w:u w:val="single"/>
        </w:rPr>
      </w:pPr>
      <w:r w:rsidRPr="00F41D32">
        <w:rPr>
          <w:rFonts w:cstheme="minorHAnsi"/>
          <w:u w:val="single"/>
        </w:rPr>
        <w:t>FOR:</w:t>
      </w:r>
    </w:p>
    <w:p w14:paraId="7F6ED5D3" w14:textId="77777777" w:rsidR="003D2C61" w:rsidRPr="00010417" w:rsidRDefault="003D2C61" w:rsidP="003D2C61">
      <w:pPr>
        <w:pStyle w:val="ListParagraph"/>
        <w:numPr>
          <w:ilvl w:val="0"/>
          <w:numId w:val="4"/>
        </w:numPr>
        <w:spacing w:after="360" w:line="259" w:lineRule="auto"/>
        <w:jc w:val="both"/>
        <w:rPr>
          <w:rFonts w:ascii="Times New Roman" w:hAnsi="Times New Roman" w:cs="Times New Roman"/>
          <w:bCs/>
          <w:sz w:val="24"/>
          <w:szCs w:val="24"/>
        </w:rPr>
      </w:pPr>
      <w:r w:rsidRPr="00010417">
        <w:rPr>
          <w:rFonts w:ascii="Times New Roman" w:hAnsi="Times New Roman" w:cs="Times New Roman"/>
          <w:bCs/>
          <w:sz w:val="24"/>
          <w:szCs w:val="24"/>
        </w:rPr>
        <w:t>Supporting documents required under section 4.2.2</w:t>
      </w:r>
      <w:r>
        <w:rPr>
          <w:rFonts w:ascii="Times New Roman" w:hAnsi="Times New Roman" w:cs="Times New Roman"/>
          <w:bCs/>
          <w:sz w:val="24"/>
          <w:szCs w:val="24"/>
        </w:rPr>
        <w:t>.1 a)</w:t>
      </w:r>
      <w:r w:rsidRPr="00010417">
        <w:rPr>
          <w:rFonts w:ascii="Times New Roman" w:hAnsi="Times New Roman" w:cs="Times New Roman"/>
          <w:bCs/>
          <w:sz w:val="24"/>
          <w:szCs w:val="24"/>
        </w:rPr>
        <w:t xml:space="preserve"> (“Scoring of Quality</w:t>
      </w:r>
      <w:r w:rsidRPr="00D3388E">
        <w:rPr>
          <w:rFonts w:ascii="Times New Roman" w:hAnsi="Times New Roman" w:cs="Times New Roman"/>
          <w:bCs/>
          <w:sz w:val="24"/>
          <w:szCs w:val="24"/>
        </w:rPr>
        <w:t>”</w:t>
      </w:r>
      <w:r w:rsidRPr="00010417">
        <w:rPr>
          <w:rFonts w:ascii="Times New Roman" w:hAnsi="Times New Roman" w:cs="Times New Roman"/>
          <w:bCs/>
          <w:sz w:val="24"/>
          <w:szCs w:val="24"/>
        </w:rPr>
        <w:t>)</w:t>
      </w:r>
      <w:r>
        <w:rPr>
          <w:rFonts w:ascii="Times New Roman" w:hAnsi="Times New Roman" w:cs="Times New Roman"/>
          <w:bCs/>
          <w:sz w:val="24"/>
          <w:szCs w:val="24"/>
        </w:rPr>
        <w:t xml:space="preserve"> </w:t>
      </w:r>
      <w:r w:rsidRPr="008343FE">
        <w:rPr>
          <w:rFonts w:ascii="Times New Roman" w:hAnsi="Times New Roman" w:cs="Times New Roman"/>
          <w:b/>
          <w:sz w:val="24"/>
          <w:szCs w:val="24"/>
        </w:rPr>
        <w:t>applicable to all Applicants</w:t>
      </w:r>
      <w:r w:rsidRPr="00010417">
        <w:rPr>
          <w:rFonts w:ascii="Times New Roman" w:hAnsi="Times New Roman" w:cs="Times New Roman"/>
          <w:bCs/>
          <w:sz w:val="24"/>
          <w:szCs w:val="24"/>
        </w:rPr>
        <w:t>, including:</w:t>
      </w:r>
    </w:p>
    <w:p w14:paraId="5A0E095F" w14:textId="77777777" w:rsidR="003D2C61" w:rsidRPr="00010417" w:rsidRDefault="003D2C61" w:rsidP="003D2C61">
      <w:pPr>
        <w:pStyle w:val="ListParagraph"/>
        <w:numPr>
          <w:ilvl w:val="0"/>
          <w:numId w:val="5"/>
        </w:numPr>
        <w:spacing w:after="360" w:line="259" w:lineRule="auto"/>
        <w:ind w:left="1134" w:hanging="425"/>
        <w:jc w:val="both"/>
        <w:rPr>
          <w:rFonts w:ascii="Times New Roman" w:hAnsi="Times New Roman" w:cs="Times New Roman"/>
          <w:bCs/>
          <w:sz w:val="24"/>
          <w:szCs w:val="24"/>
        </w:rPr>
      </w:pPr>
      <w:r w:rsidRPr="00010417">
        <w:rPr>
          <w:rFonts w:ascii="Times New Roman" w:hAnsi="Times New Roman" w:cs="Times New Roman"/>
          <w:bCs/>
          <w:sz w:val="24"/>
          <w:szCs w:val="24"/>
        </w:rPr>
        <w:t xml:space="preserve">a description of the profiles of the persons primarily responsible for managing and implementing the </w:t>
      </w:r>
      <w:proofErr w:type="gramStart"/>
      <w:r w:rsidRPr="00010417">
        <w:rPr>
          <w:rFonts w:ascii="Times New Roman" w:hAnsi="Times New Roman" w:cs="Times New Roman"/>
          <w:bCs/>
          <w:sz w:val="24"/>
          <w:szCs w:val="24"/>
        </w:rPr>
        <w:t>activities;</w:t>
      </w:r>
      <w:proofErr w:type="gramEnd"/>
    </w:p>
    <w:p w14:paraId="678A55F4" w14:textId="77777777" w:rsidR="003D2C61" w:rsidRPr="00010417" w:rsidRDefault="003D2C61" w:rsidP="003D2C61">
      <w:pPr>
        <w:pStyle w:val="ListParagraph"/>
        <w:numPr>
          <w:ilvl w:val="0"/>
          <w:numId w:val="5"/>
        </w:numPr>
        <w:spacing w:after="360" w:line="259" w:lineRule="auto"/>
        <w:ind w:left="1134" w:hanging="425"/>
        <w:jc w:val="both"/>
        <w:rPr>
          <w:rFonts w:ascii="Times New Roman" w:hAnsi="Times New Roman" w:cs="Times New Roman"/>
          <w:bCs/>
          <w:sz w:val="24"/>
          <w:szCs w:val="24"/>
        </w:rPr>
      </w:pPr>
      <w:r w:rsidRPr="00010417">
        <w:rPr>
          <w:rFonts w:ascii="Times New Roman" w:hAnsi="Times New Roman" w:cs="Times New Roman"/>
          <w:bCs/>
          <w:sz w:val="24"/>
          <w:szCs w:val="24"/>
        </w:rPr>
        <w:t xml:space="preserve">a description of previous similar initiatives that the </w:t>
      </w:r>
      <w:r>
        <w:rPr>
          <w:rFonts w:ascii="Times New Roman" w:hAnsi="Times New Roman" w:cs="Times New Roman"/>
          <w:bCs/>
          <w:sz w:val="24"/>
          <w:szCs w:val="24"/>
        </w:rPr>
        <w:t>A</w:t>
      </w:r>
      <w:r w:rsidRPr="00010417">
        <w:rPr>
          <w:rFonts w:ascii="Times New Roman" w:hAnsi="Times New Roman" w:cs="Times New Roman"/>
          <w:bCs/>
          <w:sz w:val="24"/>
          <w:szCs w:val="24"/>
        </w:rPr>
        <w:t>pplicant has carried out (</w:t>
      </w:r>
      <w:proofErr w:type="gramStart"/>
      <w:r>
        <w:rPr>
          <w:rFonts w:ascii="Times New Roman" w:hAnsi="Times New Roman" w:cs="Times New Roman"/>
          <w:bCs/>
          <w:sz w:val="24"/>
          <w:szCs w:val="24"/>
        </w:rPr>
        <w:t>e.g.</w:t>
      </w:r>
      <w:proofErr w:type="gramEnd"/>
      <w:r>
        <w:rPr>
          <w:rFonts w:ascii="Times New Roman" w:hAnsi="Times New Roman" w:cs="Times New Roman"/>
          <w:bCs/>
          <w:sz w:val="24"/>
          <w:szCs w:val="24"/>
        </w:rPr>
        <w:t xml:space="preserve"> </w:t>
      </w:r>
      <w:r w:rsidRPr="00010417">
        <w:rPr>
          <w:rFonts w:ascii="Times New Roman" w:hAnsi="Times New Roman" w:cs="Times New Roman"/>
          <w:bCs/>
          <w:sz w:val="24"/>
          <w:szCs w:val="24"/>
        </w:rPr>
        <w:t>contracts, recommendations)</w:t>
      </w:r>
      <w:r>
        <w:rPr>
          <w:rFonts w:ascii="Times New Roman" w:hAnsi="Times New Roman" w:cs="Times New Roman"/>
          <w:bCs/>
          <w:sz w:val="24"/>
          <w:szCs w:val="24"/>
        </w:rPr>
        <w:t>.</w:t>
      </w:r>
    </w:p>
    <w:p w14:paraId="59161F75" w14:textId="4901C46B" w:rsidR="003C73FD" w:rsidRPr="00F41D32" w:rsidRDefault="005024BE" w:rsidP="002057D7">
      <w:pPr>
        <w:jc w:val="both"/>
        <w:rPr>
          <w:rFonts w:cstheme="minorHAnsi"/>
          <w:u w:val="single"/>
        </w:rPr>
      </w:pPr>
      <w:r w:rsidRPr="00F41D32">
        <w:rPr>
          <w:rFonts w:cstheme="minorHAnsi"/>
          <w:u w:val="single"/>
        </w:rPr>
        <w:t>READ</w:t>
      </w:r>
      <w:r w:rsidR="003C73FD" w:rsidRPr="00F41D32">
        <w:rPr>
          <w:rFonts w:cstheme="minorHAnsi"/>
          <w:u w:val="single"/>
        </w:rPr>
        <w:t>:</w:t>
      </w:r>
    </w:p>
    <w:p w14:paraId="033EB004" w14:textId="7D425EDA" w:rsidR="00396609" w:rsidRPr="003D2C61" w:rsidRDefault="00396609" w:rsidP="00396609">
      <w:pPr>
        <w:pStyle w:val="paragraph"/>
        <w:numPr>
          <w:ilvl w:val="0"/>
          <w:numId w:val="2"/>
        </w:numPr>
        <w:spacing w:before="0" w:beforeAutospacing="0" w:after="0" w:afterAutospacing="0"/>
        <w:ind w:firstLine="0"/>
        <w:jc w:val="both"/>
        <w:textAlignment w:val="baseline"/>
      </w:pPr>
      <w:r w:rsidRPr="003D2C61">
        <w:rPr>
          <w:rStyle w:val="normaltextrun"/>
          <w:rFonts w:eastAsiaTheme="majorEastAsia"/>
          <w:lang w:val="en-GB"/>
        </w:rPr>
        <w:t>Supporting documents required under section 4.2.2.1 a) (“Quality scoring”) (</w:t>
      </w:r>
      <w:r w:rsidRPr="003D2C61">
        <w:rPr>
          <w:rStyle w:val="normaltextrun"/>
          <w:rFonts w:eastAsiaTheme="majorEastAsia"/>
          <w:b/>
          <w:bCs/>
          <w:lang w:val="en-GB"/>
        </w:rPr>
        <w:t>applicable to potential advisory partners that have not yet signed an Advisory Agreement with the Commission)</w:t>
      </w:r>
      <w:r w:rsidRPr="003D2C61">
        <w:rPr>
          <w:rStyle w:val="normaltextrun"/>
          <w:rFonts w:eastAsiaTheme="majorEastAsia"/>
          <w:lang w:val="en-GB"/>
        </w:rPr>
        <w:t>: the experience and ability of the Applicant to implement advisory initiatives including a description of previous similar initiatives that the Applicant has carried out (</w:t>
      </w:r>
      <w:proofErr w:type="gramStart"/>
      <w:r w:rsidRPr="003D2C61">
        <w:rPr>
          <w:rStyle w:val="normaltextrun"/>
          <w:rFonts w:eastAsiaTheme="majorEastAsia"/>
          <w:lang w:val="en-GB"/>
        </w:rPr>
        <w:t>e.g.</w:t>
      </w:r>
      <w:proofErr w:type="gramEnd"/>
      <w:r w:rsidRPr="003D2C61">
        <w:rPr>
          <w:rStyle w:val="normaltextrun"/>
          <w:rFonts w:eastAsiaTheme="majorEastAsia"/>
          <w:lang w:val="en-GB"/>
        </w:rPr>
        <w:t xml:space="preserve"> contracts, recommendations);</w:t>
      </w:r>
      <w:r w:rsidRPr="003D2C61">
        <w:rPr>
          <w:rStyle w:val="eop"/>
          <w:rFonts w:eastAsiaTheme="majorEastAsia"/>
        </w:rPr>
        <w:t> </w:t>
      </w:r>
    </w:p>
    <w:p w14:paraId="16F338D0" w14:textId="77777777" w:rsidR="00396609" w:rsidRPr="003D2C61" w:rsidRDefault="00396609" w:rsidP="00396609">
      <w:pPr>
        <w:pStyle w:val="paragraph"/>
        <w:spacing w:before="0" w:beforeAutospacing="0" w:after="0" w:afterAutospacing="0"/>
        <w:ind w:left="720"/>
        <w:jc w:val="both"/>
        <w:textAlignment w:val="baseline"/>
      </w:pPr>
    </w:p>
    <w:p w14:paraId="0BD72F40" w14:textId="77777777" w:rsidR="00396609" w:rsidRPr="003D2C61" w:rsidRDefault="00396609" w:rsidP="00396609">
      <w:pPr>
        <w:pStyle w:val="paragraph"/>
        <w:numPr>
          <w:ilvl w:val="0"/>
          <w:numId w:val="3"/>
        </w:numPr>
        <w:spacing w:before="0" w:beforeAutospacing="0" w:after="0" w:afterAutospacing="0"/>
        <w:ind w:firstLine="0"/>
        <w:jc w:val="both"/>
        <w:textAlignment w:val="baseline"/>
      </w:pPr>
      <w:r w:rsidRPr="003D2C61">
        <w:rPr>
          <w:rStyle w:val="normaltextrun"/>
          <w:rFonts w:eastAsiaTheme="majorEastAsia"/>
          <w:lang w:val="en-GB"/>
        </w:rPr>
        <w:t>Supporting documents required under section 4.2.2.1 b) (“Quality scoring”) (</w:t>
      </w:r>
      <w:r w:rsidRPr="003D2C61">
        <w:rPr>
          <w:rStyle w:val="normaltextrun"/>
          <w:rFonts w:eastAsiaTheme="majorEastAsia"/>
          <w:b/>
          <w:bCs/>
          <w:lang w:val="en-GB"/>
        </w:rPr>
        <w:t>applicable to all Applicants)</w:t>
      </w:r>
      <w:r w:rsidRPr="003D2C61">
        <w:rPr>
          <w:rStyle w:val="normaltextrun"/>
          <w:rFonts w:eastAsiaTheme="majorEastAsia"/>
          <w:lang w:val="en-GB"/>
        </w:rPr>
        <w:t>: the quality and plausibility of the implementation of the proposed advisory initiatives, a description of the profiles of the persons primarily responsible for managing and implementing the activities.</w:t>
      </w:r>
      <w:r w:rsidRPr="003D2C61">
        <w:rPr>
          <w:rStyle w:val="eop"/>
          <w:rFonts w:eastAsiaTheme="majorEastAsia"/>
        </w:rPr>
        <w:t> </w:t>
      </w:r>
    </w:p>
    <w:p w14:paraId="3ECDD7C8" w14:textId="77777777" w:rsidR="00A941C6" w:rsidRPr="00396609" w:rsidRDefault="00A941C6">
      <w:pPr>
        <w:rPr>
          <w:rFonts w:eastAsia="Calibri"/>
          <w:vertAlign w:val="superscript"/>
          <w:lang w:val="en-IE"/>
        </w:rPr>
      </w:pPr>
    </w:p>
    <w:sectPr w:rsidR="00A941C6" w:rsidRPr="003966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ED2C" w14:textId="77777777" w:rsidR="00C34176" w:rsidRDefault="00C34176" w:rsidP="003C73FD">
      <w:pPr>
        <w:spacing w:after="0" w:line="240" w:lineRule="auto"/>
      </w:pPr>
      <w:r>
        <w:separator/>
      </w:r>
    </w:p>
  </w:endnote>
  <w:endnote w:type="continuationSeparator" w:id="0">
    <w:p w14:paraId="276E1411" w14:textId="77777777" w:rsidR="00C34176" w:rsidRDefault="00C34176" w:rsidP="003C73FD">
      <w:pPr>
        <w:spacing w:after="0" w:line="240" w:lineRule="auto"/>
      </w:pPr>
      <w:r>
        <w:continuationSeparator/>
      </w:r>
    </w:p>
  </w:endnote>
  <w:endnote w:type="continuationNotice" w:id="1">
    <w:p w14:paraId="5B7D3558" w14:textId="77777777" w:rsidR="00C34176" w:rsidRDefault="00C34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A1E1" w14:textId="77777777" w:rsidR="00C34176" w:rsidRDefault="00C34176" w:rsidP="003C73FD">
      <w:pPr>
        <w:spacing w:after="0" w:line="240" w:lineRule="auto"/>
      </w:pPr>
      <w:r>
        <w:separator/>
      </w:r>
    </w:p>
  </w:footnote>
  <w:footnote w:type="continuationSeparator" w:id="0">
    <w:p w14:paraId="7D84F208" w14:textId="77777777" w:rsidR="00C34176" w:rsidRDefault="00C34176" w:rsidP="003C73FD">
      <w:pPr>
        <w:spacing w:after="0" w:line="240" w:lineRule="auto"/>
      </w:pPr>
      <w:r>
        <w:continuationSeparator/>
      </w:r>
    </w:p>
  </w:footnote>
  <w:footnote w:type="continuationNotice" w:id="1">
    <w:p w14:paraId="4C4D9320" w14:textId="77777777" w:rsidR="00C34176" w:rsidRDefault="00C3417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TY816a6QVadDEy" int2:id="cbctS5M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13A"/>
    <w:multiLevelType w:val="multilevel"/>
    <w:tmpl w:val="D1EAA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665F9"/>
    <w:multiLevelType w:val="multilevel"/>
    <w:tmpl w:val="59F461FA"/>
    <w:lvl w:ilvl="0">
      <w:start w:val="1"/>
      <w:numFmt w:val="decimal"/>
      <w:pStyle w:val="Heading1"/>
      <w:lvlText w:val="%1."/>
      <w:lvlJc w:val="left"/>
      <w:pPr>
        <w:ind w:left="432" w:hanging="432"/>
      </w:pPr>
      <w:rPr>
        <w:rFonts w:ascii="Times New Roman" w:hAnsi="Times New Roman" w:hint="default"/>
        <w:b/>
        <w:i w:val="0"/>
        <w:sz w:val="24"/>
        <w:szCs w:val="24"/>
      </w:rPr>
    </w:lvl>
    <w:lvl w:ilvl="1">
      <w:start w:val="1"/>
      <w:numFmt w:val="decimal"/>
      <w:pStyle w:val="Heading2"/>
      <w:lvlText w:val="%1.%2"/>
      <w:lvlJc w:val="left"/>
      <w:pPr>
        <w:ind w:left="3554" w:hanging="576"/>
      </w:pPr>
      <w:rPr>
        <w:rFonts w:hint="default"/>
      </w:rPr>
    </w:lvl>
    <w:lvl w:ilvl="2">
      <w:start w:val="1"/>
      <w:numFmt w:val="decimal"/>
      <w:pStyle w:val="Heading3"/>
      <w:lvlText w:val="%1.%2.%3"/>
      <w:lvlJc w:val="left"/>
      <w:pPr>
        <w:ind w:left="720" w:hanging="720"/>
      </w:pPr>
      <w:rPr>
        <w:rFonts w:ascii="Times New Roman" w:hAnsi="Times New Roman" w:hint="default"/>
        <w:b/>
        <w:i/>
        <w:color w:val="auto"/>
        <w:sz w:val="24"/>
      </w:rPr>
    </w:lvl>
    <w:lvl w:ilvl="3">
      <w:start w:val="1"/>
      <w:numFmt w:val="decimal"/>
      <w:pStyle w:val="Heading4"/>
      <w:lvlText w:val="%1.%2.%3.%4"/>
      <w:lvlJc w:val="left"/>
      <w:pPr>
        <w:ind w:left="864" w:hanging="864"/>
      </w:pPr>
      <w:rPr>
        <w:rFonts w:ascii="Times New Roman" w:hAnsi="Times New Roman" w:cs="Times New Roman" w:hint="default"/>
        <w:color w:val="000000" w:themeColor="text1"/>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3E279DF"/>
    <w:multiLevelType w:val="multilevel"/>
    <w:tmpl w:val="6B4CC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41463"/>
    <w:multiLevelType w:val="hybridMultilevel"/>
    <w:tmpl w:val="7B9A308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6094375"/>
    <w:multiLevelType w:val="hybridMultilevel"/>
    <w:tmpl w:val="BDD04F76"/>
    <w:lvl w:ilvl="0" w:tplc="85A691D2">
      <w:start w:val="3"/>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96552">
    <w:abstractNumId w:val="1"/>
  </w:num>
  <w:num w:numId="2" w16cid:durableId="373240996">
    <w:abstractNumId w:val="0"/>
  </w:num>
  <w:num w:numId="3" w16cid:durableId="996105364">
    <w:abstractNumId w:val="2"/>
  </w:num>
  <w:num w:numId="4" w16cid:durableId="37095149">
    <w:abstractNumId w:val="4"/>
  </w:num>
  <w:num w:numId="5" w16cid:durableId="1353647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520F"/>
    <w:rsid w:val="000C50D2"/>
    <w:rsid w:val="001663AB"/>
    <w:rsid w:val="00177E4E"/>
    <w:rsid w:val="002057D7"/>
    <w:rsid w:val="002F0C5E"/>
    <w:rsid w:val="002F715D"/>
    <w:rsid w:val="00396609"/>
    <w:rsid w:val="003C73FD"/>
    <w:rsid w:val="003D2C61"/>
    <w:rsid w:val="00424308"/>
    <w:rsid w:val="004E66A3"/>
    <w:rsid w:val="005024BE"/>
    <w:rsid w:val="00571430"/>
    <w:rsid w:val="005F7E8B"/>
    <w:rsid w:val="00655C62"/>
    <w:rsid w:val="006F08FF"/>
    <w:rsid w:val="0072334A"/>
    <w:rsid w:val="0075661D"/>
    <w:rsid w:val="0083348B"/>
    <w:rsid w:val="0086520F"/>
    <w:rsid w:val="008A6FB6"/>
    <w:rsid w:val="00901E0A"/>
    <w:rsid w:val="00971F25"/>
    <w:rsid w:val="00A941C6"/>
    <w:rsid w:val="00A97924"/>
    <w:rsid w:val="00B339EE"/>
    <w:rsid w:val="00C34176"/>
    <w:rsid w:val="00C50919"/>
    <w:rsid w:val="00CB332E"/>
    <w:rsid w:val="00E04B92"/>
    <w:rsid w:val="00E228C4"/>
    <w:rsid w:val="00F4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B53A"/>
  <w15:chartTrackingRefBased/>
  <w15:docId w15:val="{1E107E65-69F1-4143-9F21-28F58CAE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8B"/>
    <w:pPr>
      <w:spacing w:after="160" w:line="259" w:lineRule="auto"/>
    </w:pPr>
    <w:rPr>
      <w:kern w:val="0"/>
      <w14:ligatures w14:val="none"/>
    </w:rPr>
  </w:style>
  <w:style w:type="paragraph" w:styleId="Heading1">
    <w:name w:val="heading 1"/>
    <w:basedOn w:val="Normal"/>
    <w:next w:val="Normal"/>
    <w:link w:val="Heading1Char"/>
    <w:uiPriority w:val="9"/>
    <w:qFormat/>
    <w:rsid w:val="003C73FD"/>
    <w:pPr>
      <w:keepNext/>
      <w:keepLines/>
      <w:numPr>
        <w:numId w:val="1"/>
      </w:numPr>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3C73FD"/>
    <w:pPr>
      <w:keepNext/>
      <w:keepLines/>
      <w:numPr>
        <w:ilvl w:val="1"/>
        <w:numId w:val="1"/>
      </w:numPr>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3C73FD"/>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C73FD"/>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C73FD"/>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73FD"/>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73FD"/>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73F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73F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73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73FD"/>
    <w:rPr>
      <w:rFonts w:ascii="Times New Roman" w:eastAsiaTheme="majorEastAsia" w:hAnsi="Times New Roman" w:cstheme="majorBidi"/>
      <w:b/>
      <w:color w:val="000000" w:themeColor="text1"/>
      <w:kern w:val="0"/>
      <w:sz w:val="28"/>
      <w:szCs w:val="32"/>
      <w14:ligatures w14:val="none"/>
    </w:rPr>
  </w:style>
  <w:style w:type="character" w:customStyle="1" w:styleId="Heading2Char">
    <w:name w:val="Heading 2 Char"/>
    <w:basedOn w:val="DefaultParagraphFont"/>
    <w:link w:val="Heading2"/>
    <w:uiPriority w:val="9"/>
    <w:rsid w:val="003C73FD"/>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3C73FD"/>
    <w:rPr>
      <w:rFonts w:asciiTheme="majorHAnsi" w:eastAsiaTheme="majorEastAsia" w:hAnsiTheme="majorHAnsi" w:cstheme="majorBidi"/>
      <w:color w:val="243F60" w:themeColor="accent1" w:themeShade="7F"/>
      <w:kern w:val="0"/>
      <w:sz w:val="24"/>
      <w:szCs w:val="24"/>
      <w14:ligatures w14:val="none"/>
    </w:rPr>
  </w:style>
  <w:style w:type="character" w:customStyle="1" w:styleId="Heading4Char">
    <w:name w:val="Heading 4 Char"/>
    <w:basedOn w:val="DefaultParagraphFont"/>
    <w:link w:val="Heading4"/>
    <w:uiPriority w:val="9"/>
    <w:rsid w:val="003C73FD"/>
    <w:rPr>
      <w:rFonts w:asciiTheme="majorHAnsi" w:eastAsiaTheme="majorEastAsia" w:hAnsiTheme="majorHAnsi" w:cstheme="majorBidi"/>
      <w:i/>
      <w:iCs/>
      <w:color w:val="365F91" w:themeColor="accent1" w:themeShade="BF"/>
      <w:kern w:val="0"/>
      <w14:ligatures w14:val="none"/>
    </w:rPr>
  </w:style>
  <w:style w:type="character" w:customStyle="1" w:styleId="Heading5Char">
    <w:name w:val="Heading 5 Char"/>
    <w:basedOn w:val="DefaultParagraphFont"/>
    <w:link w:val="Heading5"/>
    <w:uiPriority w:val="9"/>
    <w:semiHidden/>
    <w:rsid w:val="003C73FD"/>
    <w:rPr>
      <w:rFonts w:asciiTheme="majorHAnsi" w:eastAsiaTheme="majorEastAsia" w:hAnsiTheme="majorHAnsi" w:cstheme="majorBidi"/>
      <w:color w:val="365F91" w:themeColor="accent1" w:themeShade="BF"/>
      <w:kern w:val="0"/>
      <w14:ligatures w14:val="none"/>
    </w:rPr>
  </w:style>
  <w:style w:type="character" w:customStyle="1" w:styleId="Heading6Char">
    <w:name w:val="Heading 6 Char"/>
    <w:basedOn w:val="DefaultParagraphFont"/>
    <w:link w:val="Heading6"/>
    <w:uiPriority w:val="9"/>
    <w:semiHidden/>
    <w:rsid w:val="003C73FD"/>
    <w:rPr>
      <w:rFonts w:asciiTheme="majorHAnsi" w:eastAsiaTheme="majorEastAsia" w:hAnsiTheme="majorHAnsi" w:cstheme="majorBidi"/>
      <w:color w:val="243F60" w:themeColor="accent1" w:themeShade="7F"/>
      <w:kern w:val="0"/>
      <w14:ligatures w14:val="none"/>
    </w:rPr>
  </w:style>
  <w:style w:type="character" w:customStyle="1" w:styleId="Heading7Char">
    <w:name w:val="Heading 7 Char"/>
    <w:basedOn w:val="DefaultParagraphFont"/>
    <w:link w:val="Heading7"/>
    <w:uiPriority w:val="9"/>
    <w:semiHidden/>
    <w:rsid w:val="003C73FD"/>
    <w:rPr>
      <w:rFonts w:asciiTheme="majorHAnsi" w:eastAsiaTheme="majorEastAsia" w:hAnsiTheme="majorHAnsi" w:cstheme="majorBidi"/>
      <w:i/>
      <w:iCs/>
      <w:color w:val="243F60" w:themeColor="accent1" w:themeShade="7F"/>
      <w:kern w:val="0"/>
      <w14:ligatures w14:val="none"/>
    </w:rPr>
  </w:style>
  <w:style w:type="character" w:customStyle="1" w:styleId="Heading8Char">
    <w:name w:val="Heading 8 Char"/>
    <w:basedOn w:val="DefaultParagraphFont"/>
    <w:link w:val="Heading8"/>
    <w:uiPriority w:val="9"/>
    <w:semiHidden/>
    <w:rsid w:val="003C73FD"/>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C73FD"/>
    <w:rPr>
      <w:rFonts w:asciiTheme="majorHAnsi" w:eastAsiaTheme="majorEastAsia" w:hAnsiTheme="majorHAnsi" w:cstheme="majorBidi"/>
      <w:i/>
      <w:iCs/>
      <w:color w:val="272727" w:themeColor="text1" w:themeTint="D8"/>
      <w:kern w:val="0"/>
      <w:sz w:val="21"/>
      <w:szCs w:val="21"/>
      <w14:ligatures w14:val="none"/>
    </w:rPr>
  </w:style>
  <w:style w:type="paragraph" w:styleId="Footnote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otnoteTextChar"/>
    <w:uiPriority w:val="99"/>
    <w:unhideWhenUsed/>
    <w:qFormat/>
    <w:rsid w:val="003C73FD"/>
    <w:pPr>
      <w:spacing w:after="0" w:line="240" w:lineRule="auto"/>
    </w:pPr>
    <w:rPr>
      <w:rFonts w:ascii="Times New Roman" w:hAnsi="Times New Roman"/>
      <w:sz w:val="20"/>
      <w:szCs w:val="20"/>
    </w:rPr>
  </w:style>
  <w:style w:type="character" w:customStyle="1" w:styleId="FootnoteTextChar">
    <w:name w:val="Footnote Text Char"/>
    <w:aliases w:val="a Char,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qFormat/>
    <w:rsid w:val="003C73FD"/>
    <w:rPr>
      <w:rFonts w:ascii="Times New Roman" w:hAnsi="Times New Roman"/>
      <w:kern w:val="0"/>
      <w:sz w:val="20"/>
      <w:szCs w:val="20"/>
      <w14:ligatures w14:val="none"/>
    </w:rPr>
  </w:style>
  <w:style w:type="character" w:styleId="FootnoteReference">
    <w:name w:val="footnote reference"/>
    <w:aliases w:val="Nota,Footnote symbol,Footnote number, Char1,Char1,Ref,de nota al pie"/>
    <w:basedOn w:val="DefaultParagraphFont"/>
    <w:uiPriority w:val="99"/>
    <w:unhideWhenUsed/>
    <w:rsid w:val="003C73FD"/>
    <w:rPr>
      <w:vertAlign w:val="superscript"/>
    </w:rPr>
  </w:style>
  <w:style w:type="paragraph" w:styleId="Header">
    <w:name w:val="header"/>
    <w:basedOn w:val="Normal"/>
    <w:link w:val="HeaderChar"/>
    <w:uiPriority w:val="99"/>
    <w:semiHidden/>
    <w:unhideWhenUsed/>
    <w:rsid w:val="00655C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C62"/>
    <w:rPr>
      <w:kern w:val="0"/>
      <w14:ligatures w14:val="none"/>
    </w:rPr>
  </w:style>
  <w:style w:type="paragraph" w:styleId="Footer">
    <w:name w:val="footer"/>
    <w:basedOn w:val="Normal"/>
    <w:link w:val="FooterChar"/>
    <w:uiPriority w:val="99"/>
    <w:semiHidden/>
    <w:unhideWhenUsed/>
    <w:rsid w:val="00655C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5C62"/>
    <w:rPr>
      <w:kern w:val="0"/>
      <w14:ligatures w14:val="none"/>
    </w:rPr>
  </w:style>
  <w:style w:type="character" w:customStyle="1" w:styleId="normaltextrun">
    <w:name w:val="normaltextrun"/>
    <w:basedOn w:val="DefaultParagraphFont"/>
    <w:rsid w:val="002F0C5E"/>
  </w:style>
  <w:style w:type="character" w:customStyle="1" w:styleId="eop">
    <w:name w:val="eop"/>
    <w:basedOn w:val="DefaultParagraphFont"/>
    <w:rsid w:val="002F0C5E"/>
  </w:style>
  <w:style w:type="paragraph" w:customStyle="1" w:styleId="paragraph">
    <w:name w:val="paragraph"/>
    <w:basedOn w:val="Normal"/>
    <w:rsid w:val="0039660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tabchar">
    <w:name w:val="tabchar"/>
    <w:basedOn w:val="DefaultParagraphFont"/>
    <w:rsid w:val="00396609"/>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3D2C61"/>
    <w:pPr>
      <w:spacing w:after="120" w:line="264" w:lineRule="auto"/>
      <w:ind w:left="720"/>
      <w:contextualSpacing/>
    </w:pPr>
    <w:rPr>
      <w:rFonts w:eastAsiaTheme="minorEastAsia"/>
      <w:sz w:val="20"/>
      <w:szCs w:val="20"/>
    </w:rPr>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3D2C61"/>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85497">
      <w:bodyDiv w:val="1"/>
      <w:marLeft w:val="0"/>
      <w:marRight w:val="0"/>
      <w:marTop w:val="0"/>
      <w:marBottom w:val="0"/>
      <w:divBdr>
        <w:top w:val="none" w:sz="0" w:space="0" w:color="auto"/>
        <w:left w:val="none" w:sz="0" w:space="0" w:color="auto"/>
        <w:bottom w:val="none" w:sz="0" w:space="0" w:color="auto"/>
        <w:right w:val="none" w:sz="0" w:space="0" w:color="auto"/>
      </w:divBdr>
      <w:divsChild>
        <w:div w:id="2125341518">
          <w:marLeft w:val="0"/>
          <w:marRight w:val="0"/>
          <w:marTop w:val="0"/>
          <w:marBottom w:val="0"/>
          <w:divBdr>
            <w:top w:val="none" w:sz="0" w:space="0" w:color="auto"/>
            <w:left w:val="none" w:sz="0" w:space="0" w:color="auto"/>
            <w:bottom w:val="none" w:sz="0" w:space="0" w:color="auto"/>
            <w:right w:val="none" w:sz="0" w:space="0" w:color="auto"/>
          </w:divBdr>
        </w:div>
        <w:div w:id="19708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58240a-83d2-44c5-9ba5-236b5b9468ad">
      <Terms xmlns="http://schemas.microsoft.com/office/infopath/2007/PartnerControls"/>
    </lcf76f155ced4ddcb4097134ff3c332f>
    <TaxCatchAll xmlns="678c6490-dcbb-4f27-8bf0-93c1f0f361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4186A5BF50E43B976AF2B7B3479A0" ma:contentTypeVersion="14" ma:contentTypeDescription="Create a new document." ma:contentTypeScope="" ma:versionID="f318c490cc4ca7046b00fbf5a0a8e343">
  <xsd:schema xmlns:xsd="http://www.w3.org/2001/XMLSchema" xmlns:xs="http://www.w3.org/2001/XMLSchema" xmlns:p="http://schemas.microsoft.com/office/2006/metadata/properties" xmlns:ns2="2658240a-83d2-44c5-9ba5-236b5b9468ad" xmlns:ns3="678c6490-dcbb-4f27-8bf0-93c1f0f36181" targetNamespace="http://schemas.microsoft.com/office/2006/metadata/properties" ma:root="true" ma:fieldsID="4b38a19ed1c944cbbfb9433671a2528a" ns2:_="" ns3:_="">
    <xsd:import namespace="2658240a-83d2-44c5-9ba5-236b5b9468ad"/>
    <xsd:import namespace="678c6490-dcbb-4f27-8bf0-93c1f0f361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8240a-83d2-44c5-9ba5-236b5b94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c6490-dcbb-4f27-8bf0-93c1f0f361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58393ef-3437-4974-837a-c54ab51fb620}" ma:internalName="TaxCatchAll" ma:showField="CatchAllData" ma:web="678c6490-dcbb-4f27-8bf0-93c1f0f36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EE4AE-0AE8-4337-8B94-EC46A981D48F}">
  <ds:schemaRefs>
    <ds:schemaRef ds:uri="http://schemas.microsoft.com/office/2006/metadata/properties"/>
    <ds:schemaRef ds:uri="http://schemas.microsoft.com/office/infopath/2007/PartnerControls"/>
    <ds:schemaRef ds:uri="2658240a-83d2-44c5-9ba5-236b5b9468ad"/>
    <ds:schemaRef ds:uri="678c6490-dcbb-4f27-8bf0-93c1f0f36181"/>
  </ds:schemaRefs>
</ds:datastoreItem>
</file>

<file path=customXml/itemProps2.xml><?xml version="1.0" encoding="utf-8"?>
<ds:datastoreItem xmlns:ds="http://schemas.openxmlformats.org/officeDocument/2006/customXml" ds:itemID="{4AB21D44-BF6C-4B16-9C07-E56A64D71C25}">
  <ds:schemaRefs>
    <ds:schemaRef ds:uri="http://schemas.microsoft.com/sharepoint/v3/contenttype/forms"/>
  </ds:schemaRefs>
</ds:datastoreItem>
</file>

<file path=customXml/itemProps3.xml><?xml version="1.0" encoding="utf-8"?>
<ds:datastoreItem xmlns:ds="http://schemas.openxmlformats.org/officeDocument/2006/customXml" ds:itemID="{FEA3C815-295E-4FFE-9421-0FC0AC6E9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8240a-83d2-44c5-9ba5-236b5b9468ad"/>
    <ds:schemaRef ds:uri="678c6490-dcbb-4f27-8bf0-93c1f0f36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Company>European Commission</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SOUSSAN Samuel (ECFIN)</dc:creator>
  <cp:keywords/>
  <dc:description/>
  <cp:lastModifiedBy>VATCHKOVA Marina (ECFIN)</cp:lastModifiedBy>
  <cp:revision>2</cp:revision>
  <dcterms:created xsi:type="dcterms:W3CDTF">2024-02-08T15:22:00Z</dcterms:created>
  <dcterms:modified xsi:type="dcterms:W3CDTF">2024-02-08T15:22:00Z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2024-02-05T08:42:19Z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a73419e5-b1f2-42d2-b65c-bfeb0d39a108</vt:lpwstr>
  </property>
  <property fmtid="{D5CDD505-2E9C-101B-9397-08002B2CF9AE}" pid="8" name="MSIP_Label_6bd9ddd1-4d20-43f6-abfa-fc3c07406f94_ContentBits">
    <vt:lpwstr>0</vt:lpwstr>
  </property>
  <property fmtid="{D5CDD505-2E9C-101B-9397-08002B2CF9AE}" pid="9" name="ContentTypeId">
    <vt:lpwstr>0x010100AD34186A5BF50E43B976AF2B7B3479A0</vt:lpwstr>
  </property>
  <property fmtid="{D5CDD505-2E9C-101B-9397-08002B2CF9AE}" pid="10" name="MediaServiceImageTags">
    <vt:lpwstr/>
  </property>
</Properties>
</file>